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40D3" w14:textId="77777777" w:rsidR="008356D9" w:rsidRDefault="008356D9" w:rsidP="008356D9">
      <w:pPr>
        <w:pStyle w:val="BodyText"/>
        <w:tabs>
          <w:tab w:val="left" w:pos="1540"/>
        </w:tabs>
        <w:spacing w:before="83"/>
        <w:ind w:left="100"/>
      </w:pPr>
      <w:r>
        <w:rPr>
          <w:spacing w:val="-5"/>
        </w:rPr>
        <w:t>TO:</w:t>
      </w:r>
      <w:r>
        <w:tab/>
      </w:r>
      <w:r>
        <w:rPr>
          <w:spacing w:val="-2"/>
        </w:rPr>
        <w:t>Assembly</w:t>
      </w:r>
    </w:p>
    <w:p w14:paraId="63D1E3A6" w14:textId="77777777" w:rsidR="008356D9" w:rsidRDefault="008356D9" w:rsidP="008356D9">
      <w:pPr>
        <w:pStyle w:val="BodyText"/>
        <w:spacing w:before="75"/>
      </w:pPr>
    </w:p>
    <w:p w14:paraId="06174108" w14:textId="0FD28C8D" w:rsidR="008356D9" w:rsidRDefault="008356D9" w:rsidP="008356D9">
      <w:pPr>
        <w:pStyle w:val="BodyText"/>
        <w:tabs>
          <w:tab w:val="left" w:pos="1540"/>
        </w:tabs>
        <w:ind w:left="100"/>
      </w:pPr>
      <w:r>
        <w:rPr>
          <w:spacing w:val="-2"/>
        </w:rPr>
        <w:t>FROM:</w:t>
      </w:r>
      <w:r>
        <w:tab/>
        <w:t xml:space="preserve">William Brown  </w:t>
      </w:r>
    </w:p>
    <w:p w14:paraId="45268EB2" w14:textId="77777777" w:rsidR="008356D9" w:rsidRDefault="008356D9" w:rsidP="008356D9">
      <w:pPr>
        <w:pStyle w:val="BodyText"/>
        <w:spacing w:before="78"/>
      </w:pPr>
    </w:p>
    <w:p w14:paraId="733D24BE" w14:textId="5CA9CAEF" w:rsidR="008356D9" w:rsidRDefault="008356D9" w:rsidP="008356D9">
      <w:pPr>
        <w:pStyle w:val="BodyText"/>
        <w:tabs>
          <w:tab w:val="left" w:pos="1540"/>
        </w:tabs>
        <w:ind w:left="100"/>
      </w:pPr>
      <w:r>
        <w:rPr>
          <w:spacing w:val="-5"/>
        </w:rPr>
        <w:t>RE:</w:t>
      </w:r>
      <w:r>
        <w:tab/>
        <w:t xml:space="preserve">Making the Durham Experience Accessible for Commuter Students  </w:t>
      </w:r>
    </w:p>
    <w:p w14:paraId="0BB78450" w14:textId="77777777" w:rsidR="008356D9" w:rsidRDefault="008356D9" w:rsidP="008356D9">
      <w:pPr>
        <w:pStyle w:val="BodyText"/>
        <w:spacing w:before="74"/>
      </w:pPr>
    </w:p>
    <w:p w14:paraId="1A5BAB22" w14:textId="77777777" w:rsidR="008356D9" w:rsidRDefault="008356D9" w:rsidP="008356D9">
      <w:pPr>
        <w:pStyle w:val="BodyText"/>
        <w:tabs>
          <w:tab w:val="left" w:pos="1540"/>
        </w:tabs>
        <w:spacing w:before="1"/>
        <w:ind w:left="100"/>
      </w:pPr>
      <w:r>
        <w:rPr>
          <w:spacing w:val="-2"/>
        </w:rPr>
        <w:t>DATE:</w:t>
      </w:r>
      <w:r>
        <w:tab/>
        <w:t xml:space="preserve">30 May 2024 </w:t>
      </w:r>
    </w:p>
    <w:p w14:paraId="4C33F85D" w14:textId="78DB12BB" w:rsidR="008356D9" w:rsidRDefault="008356D9" w:rsidP="008356D9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6D059B" wp14:editId="2A7CD424">
                <wp:simplePos x="0" y="0"/>
                <wp:positionH relativeFrom="page">
                  <wp:posOffset>914704</wp:posOffset>
                </wp:positionH>
                <wp:positionV relativeFrom="paragraph">
                  <wp:posOffset>179716</wp:posOffset>
                </wp:positionV>
                <wp:extent cx="5674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66D7A" id="Graphic 3" o:spid="_x0000_s1026" style="position:absolute;margin-left:1in;margin-top:14.15pt;width:446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/FQIAAFsEAAAOAAAAZHJzL2Uyb0RvYy54bWysVE1v2zAMvQ/YfxB0X5yPLc2M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" path="m,l56738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488192" w14:textId="77777777" w:rsidR="008356D9" w:rsidRPr="008356D9" w:rsidRDefault="008356D9" w:rsidP="008356D9">
      <w:pPr>
        <w:pStyle w:val="BodyText"/>
        <w:spacing w:before="29"/>
        <w:rPr>
          <w:sz w:val="20"/>
        </w:rPr>
      </w:pPr>
    </w:p>
    <w:p w14:paraId="6A68B150" w14:textId="5BF81A6E" w:rsidR="00203EBB" w:rsidRPr="008356D9" w:rsidRDefault="00203EBB" w:rsidP="00203EBB">
      <w:pPr>
        <w:rPr>
          <w:rFonts w:ascii="Arial" w:hAnsi="Arial" w:cs="Arial"/>
          <w:b/>
          <w:bCs/>
        </w:rPr>
      </w:pPr>
      <w:r w:rsidRPr="008356D9">
        <w:rPr>
          <w:rFonts w:ascii="Arial" w:hAnsi="Arial" w:cs="Arial"/>
          <w:b/>
          <w:bCs/>
        </w:rPr>
        <w:t>Assembly Notes</w:t>
      </w:r>
    </w:p>
    <w:p w14:paraId="0ABE3227" w14:textId="37B02DA4" w:rsidR="00203EBB" w:rsidRPr="008356D9" w:rsidRDefault="00B96E83" w:rsidP="00203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I</w:t>
      </w:r>
      <w:r w:rsidR="00203EBB" w:rsidRPr="008356D9">
        <w:rPr>
          <w:rFonts w:ascii="Arial" w:hAnsi="Arial" w:cs="Arial"/>
        </w:rPr>
        <w:t>n 2022/23</w:t>
      </w:r>
      <w:r w:rsidRPr="008356D9">
        <w:rPr>
          <w:rFonts w:ascii="Arial" w:hAnsi="Arial" w:cs="Arial"/>
        </w:rPr>
        <w:t>, the University reported</w:t>
      </w:r>
      <w:r w:rsidR="00203EBB" w:rsidRPr="008356D9">
        <w:rPr>
          <w:rFonts w:ascii="Arial" w:hAnsi="Arial" w:cs="Arial"/>
        </w:rPr>
        <w:t xml:space="preserve"> that 3,382 </w:t>
      </w:r>
      <w:r w:rsidR="00C81AD0" w:rsidRPr="008356D9">
        <w:rPr>
          <w:rFonts w:ascii="Arial" w:hAnsi="Arial" w:cs="Arial"/>
        </w:rPr>
        <w:t xml:space="preserve">‘commuter </w:t>
      </w:r>
      <w:r w:rsidR="00203EBB" w:rsidRPr="008356D9">
        <w:rPr>
          <w:rFonts w:ascii="Arial" w:hAnsi="Arial" w:cs="Arial"/>
        </w:rPr>
        <w:t>students</w:t>
      </w:r>
      <w:r w:rsidR="00C81AD0" w:rsidRPr="008356D9">
        <w:rPr>
          <w:rFonts w:ascii="Arial" w:hAnsi="Arial" w:cs="Arial"/>
        </w:rPr>
        <w:t>’</w:t>
      </w:r>
      <w:r w:rsidR="00203EBB" w:rsidRPr="008356D9">
        <w:rPr>
          <w:rFonts w:ascii="Arial" w:hAnsi="Arial" w:cs="Arial"/>
        </w:rPr>
        <w:t xml:space="preserve"> lived outside of the DH1 postcode area. This equated to 15.3% of the total student body</w:t>
      </w:r>
      <w:r w:rsidR="00BB072B" w:rsidRPr="008356D9">
        <w:rPr>
          <w:rFonts w:ascii="Arial" w:hAnsi="Arial" w:cs="Arial"/>
        </w:rPr>
        <w:t>.</w:t>
      </w:r>
      <w:r w:rsidR="00C2359A" w:rsidRPr="008356D9">
        <w:rPr>
          <w:rStyle w:val="FootnoteReference"/>
          <w:rFonts w:ascii="Arial" w:hAnsi="Arial" w:cs="Arial"/>
        </w:rPr>
        <w:footnoteReference w:id="1"/>
      </w:r>
    </w:p>
    <w:p w14:paraId="4AFF69A3" w14:textId="78CF838C" w:rsidR="00BB072B" w:rsidRPr="008356D9" w:rsidRDefault="00C81AD0" w:rsidP="00BB07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Using a</w:t>
      </w:r>
      <w:r w:rsidR="00906101" w:rsidRPr="008356D9">
        <w:rPr>
          <w:rFonts w:ascii="Arial" w:hAnsi="Arial" w:cs="Arial"/>
        </w:rPr>
        <w:t xml:space="preserve"> </w:t>
      </w:r>
      <w:r w:rsidRPr="008356D9">
        <w:rPr>
          <w:rFonts w:ascii="Arial" w:hAnsi="Arial" w:cs="Arial"/>
        </w:rPr>
        <w:t>different</w:t>
      </w:r>
      <w:r w:rsidR="00906101" w:rsidRPr="008356D9">
        <w:rPr>
          <w:rFonts w:ascii="Arial" w:hAnsi="Arial" w:cs="Arial"/>
        </w:rPr>
        <w:t>, more general</w:t>
      </w:r>
      <w:r w:rsidRPr="008356D9">
        <w:rPr>
          <w:rFonts w:ascii="Arial" w:hAnsi="Arial" w:cs="Arial"/>
        </w:rPr>
        <w:t xml:space="preserve"> definition of ‘commuter student’</w:t>
      </w:r>
      <w:r w:rsidR="00906101" w:rsidRPr="008356D9">
        <w:rPr>
          <w:rFonts w:ascii="Arial" w:hAnsi="Arial" w:cs="Arial"/>
        </w:rPr>
        <w:t>,</w:t>
      </w:r>
      <w:r w:rsidRPr="008356D9">
        <w:rPr>
          <w:rFonts w:ascii="Arial" w:hAnsi="Arial" w:cs="Arial"/>
        </w:rPr>
        <w:t xml:space="preserve"> r</w:t>
      </w:r>
      <w:r w:rsidR="00203EBB" w:rsidRPr="008356D9">
        <w:rPr>
          <w:rFonts w:ascii="Arial" w:hAnsi="Arial" w:cs="Arial"/>
        </w:rPr>
        <w:t>esearch</w:t>
      </w:r>
      <w:r w:rsidR="00C2359A" w:rsidRPr="008356D9">
        <w:rPr>
          <w:rFonts w:ascii="Arial" w:hAnsi="Arial" w:cs="Arial"/>
        </w:rPr>
        <w:t xml:space="preserve"> also </w:t>
      </w:r>
      <w:r w:rsidR="00203EBB" w:rsidRPr="008356D9">
        <w:rPr>
          <w:rFonts w:ascii="Arial" w:hAnsi="Arial" w:cs="Arial"/>
        </w:rPr>
        <w:t>found that</w:t>
      </w:r>
      <w:r w:rsidR="00C2359A" w:rsidRPr="008356D9">
        <w:rPr>
          <w:rFonts w:ascii="Arial" w:hAnsi="Arial" w:cs="Arial"/>
        </w:rPr>
        <w:t xml:space="preserve"> Durham is within the</w:t>
      </w:r>
      <w:r w:rsidR="00906101" w:rsidRPr="008356D9">
        <w:rPr>
          <w:rFonts w:ascii="Arial" w:hAnsi="Arial" w:cs="Arial"/>
        </w:rPr>
        <w:t xml:space="preserve"> bottom</w:t>
      </w:r>
      <w:r w:rsidR="00C2359A" w:rsidRPr="008356D9">
        <w:rPr>
          <w:rFonts w:ascii="Arial" w:hAnsi="Arial" w:cs="Arial"/>
        </w:rPr>
        <w:t xml:space="preserve"> 20 universities</w:t>
      </w:r>
      <w:r w:rsidR="00BB072B" w:rsidRPr="008356D9">
        <w:rPr>
          <w:rFonts w:ascii="Arial" w:hAnsi="Arial" w:cs="Arial"/>
        </w:rPr>
        <w:t xml:space="preserve"> </w:t>
      </w:r>
      <w:r w:rsidR="00906101" w:rsidRPr="008356D9">
        <w:rPr>
          <w:rFonts w:ascii="Arial" w:hAnsi="Arial" w:cs="Arial"/>
        </w:rPr>
        <w:t>i</w:t>
      </w:r>
      <w:r w:rsidR="00BB072B" w:rsidRPr="008356D9">
        <w:rPr>
          <w:rFonts w:ascii="Arial" w:hAnsi="Arial" w:cs="Arial"/>
        </w:rPr>
        <w:t>n the UK</w:t>
      </w:r>
      <w:r w:rsidR="00906101" w:rsidRPr="008356D9">
        <w:rPr>
          <w:rFonts w:ascii="Arial" w:hAnsi="Arial" w:cs="Arial"/>
        </w:rPr>
        <w:t xml:space="preserve"> for the proportion of the student body that are</w:t>
      </w:r>
      <w:r w:rsidR="00C2359A" w:rsidRPr="008356D9">
        <w:rPr>
          <w:rFonts w:ascii="Arial" w:hAnsi="Arial" w:cs="Arial"/>
        </w:rPr>
        <w:t xml:space="preserve"> ‘short distance commuter students’</w:t>
      </w:r>
      <w:r w:rsidR="00906101" w:rsidRPr="008356D9">
        <w:rPr>
          <w:rFonts w:ascii="Arial" w:hAnsi="Arial" w:cs="Arial"/>
        </w:rPr>
        <w:t xml:space="preserve"> (i.e. students living within 57-152 miles of their university), with just 1.3% of Durham students falling into the category</w:t>
      </w:r>
      <w:r w:rsidR="00BB072B" w:rsidRPr="008356D9">
        <w:rPr>
          <w:rFonts w:ascii="Arial" w:hAnsi="Arial" w:cs="Arial"/>
        </w:rPr>
        <w:t>.</w:t>
      </w:r>
      <w:r w:rsidR="00BB072B" w:rsidRPr="008356D9">
        <w:rPr>
          <w:rStyle w:val="FootnoteReference"/>
          <w:rFonts w:ascii="Arial" w:hAnsi="Arial" w:cs="Arial"/>
        </w:rPr>
        <w:footnoteReference w:id="2"/>
      </w:r>
    </w:p>
    <w:p w14:paraId="3E898F97" w14:textId="5840003D" w:rsidR="00137CC9" w:rsidRPr="008356D9" w:rsidRDefault="004F54EE" w:rsidP="00BB07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Other r</w:t>
      </w:r>
      <w:r w:rsidR="00C87C92" w:rsidRPr="008356D9">
        <w:rPr>
          <w:rFonts w:ascii="Arial" w:hAnsi="Arial" w:cs="Arial"/>
        </w:rPr>
        <w:t xml:space="preserve">esearch also </w:t>
      </w:r>
      <w:r w:rsidR="00137CC9" w:rsidRPr="008356D9">
        <w:rPr>
          <w:rFonts w:ascii="Arial" w:hAnsi="Arial" w:cs="Arial"/>
        </w:rPr>
        <w:t xml:space="preserve">identifies that non-commuter students, particularly first year students living in </w:t>
      </w:r>
      <w:r w:rsidR="00E32C0A" w:rsidRPr="008356D9">
        <w:rPr>
          <w:rFonts w:ascii="Arial" w:hAnsi="Arial" w:cs="Arial"/>
        </w:rPr>
        <w:t xml:space="preserve">university </w:t>
      </w:r>
      <w:r w:rsidR="00137CC9" w:rsidRPr="008356D9">
        <w:rPr>
          <w:rFonts w:ascii="Arial" w:hAnsi="Arial" w:cs="Arial"/>
        </w:rPr>
        <w:t xml:space="preserve">accommodation, enjoy a ‘perceived fluidity between learning, living and social environments’ </w:t>
      </w:r>
      <w:r w:rsidR="00E32C0A" w:rsidRPr="008356D9">
        <w:rPr>
          <w:rFonts w:ascii="Arial" w:hAnsi="Arial" w:cs="Arial"/>
        </w:rPr>
        <w:t>with</w:t>
      </w:r>
      <w:r w:rsidR="00137CC9" w:rsidRPr="008356D9">
        <w:rPr>
          <w:rFonts w:ascii="Arial" w:hAnsi="Arial" w:cs="Arial"/>
        </w:rPr>
        <w:t xml:space="preserve"> the same </w:t>
      </w:r>
      <w:r w:rsidR="00E32C0A" w:rsidRPr="008356D9">
        <w:rPr>
          <w:rFonts w:ascii="Arial" w:hAnsi="Arial" w:cs="Arial"/>
        </w:rPr>
        <w:t xml:space="preserve">space having a multi-purpose use making </w:t>
      </w:r>
      <w:r w:rsidR="00137CC9" w:rsidRPr="008356D9">
        <w:rPr>
          <w:rFonts w:ascii="Arial" w:hAnsi="Arial" w:cs="Arial"/>
        </w:rPr>
        <w:t>‘social interactions less complicated’.</w:t>
      </w:r>
      <w:r w:rsidR="00137CC9" w:rsidRPr="008356D9">
        <w:rPr>
          <w:rStyle w:val="FootnoteReference"/>
          <w:rFonts w:ascii="Arial" w:hAnsi="Arial" w:cs="Arial"/>
        </w:rPr>
        <w:footnoteReference w:id="3"/>
      </w:r>
    </w:p>
    <w:p w14:paraId="31F9AB9D" w14:textId="6916C41F" w:rsidR="00C87C92" w:rsidRPr="008356D9" w:rsidRDefault="00137CC9" w:rsidP="00BB07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The research found that this fluidity was in direct contrast to the experiences of students who did not live in</w:t>
      </w:r>
      <w:r w:rsidR="00B96E83" w:rsidRPr="008356D9">
        <w:rPr>
          <w:rFonts w:ascii="Arial" w:hAnsi="Arial" w:cs="Arial"/>
        </w:rPr>
        <w:t xml:space="preserve"> u</w:t>
      </w:r>
      <w:r w:rsidRPr="008356D9">
        <w:rPr>
          <w:rFonts w:ascii="Arial" w:hAnsi="Arial" w:cs="Arial"/>
        </w:rPr>
        <w:t xml:space="preserve">niversity accommodation during their first year. Instead, these students </w:t>
      </w:r>
      <w:r w:rsidR="00B96E83" w:rsidRPr="008356D9">
        <w:rPr>
          <w:rFonts w:ascii="Arial" w:hAnsi="Arial" w:cs="Arial"/>
        </w:rPr>
        <w:t>view</w:t>
      </w:r>
      <w:r w:rsidRPr="008356D9">
        <w:rPr>
          <w:rFonts w:ascii="Arial" w:hAnsi="Arial" w:cs="Arial"/>
        </w:rPr>
        <w:t>ed</w:t>
      </w:r>
      <w:r w:rsidR="00B96E83" w:rsidRPr="008356D9">
        <w:rPr>
          <w:rFonts w:ascii="Arial" w:hAnsi="Arial" w:cs="Arial"/>
        </w:rPr>
        <w:t xml:space="preserve"> their identity as being split between</w:t>
      </w:r>
      <w:r w:rsidRPr="008356D9">
        <w:rPr>
          <w:rFonts w:ascii="Arial" w:hAnsi="Arial" w:cs="Arial"/>
        </w:rPr>
        <w:t xml:space="preserve"> ‘two worlds’ – their </w:t>
      </w:r>
      <w:r w:rsidR="00E32C0A" w:rsidRPr="008356D9">
        <w:rPr>
          <w:rFonts w:ascii="Arial" w:hAnsi="Arial" w:cs="Arial"/>
        </w:rPr>
        <w:t>non-student ‘home’ identity</w:t>
      </w:r>
      <w:r w:rsidRPr="008356D9">
        <w:rPr>
          <w:rFonts w:ascii="Arial" w:hAnsi="Arial" w:cs="Arial"/>
        </w:rPr>
        <w:t xml:space="preserve">, especially where they lived with their own families, and their university </w:t>
      </w:r>
      <w:r w:rsidR="00E32C0A" w:rsidRPr="008356D9">
        <w:rPr>
          <w:rFonts w:ascii="Arial" w:hAnsi="Arial" w:cs="Arial"/>
        </w:rPr>
        <w:t>identity</w:t>
      </w:r>
      <w:r w:rsidR="004F54EE" w:rsidRPr="008356D9">
        <w:rPr>
          <w:rFonts w:ascii="Arial" w:hAnsi="Arial" w:cs="Arial"/>
        </w:rPr>
        <w:t>. This</w:t>
      </w:r>
      <w:r w:rsidR="00B96E83" w:rsidRPr="008356D9">
        <w:rPr>
          <w:rFonts w:ascii="Arial" w:hAnsi="Arial" w:cs="Arial"/>
        </w:rPr>
        <w:t xml:space="preserve"> ma</w:t>
      </w:r>
      <w:r w:rsidR="004F54EE" w:rsidRPr="008356D9">
        <w:rPr>
          <w:rFonts w:ascii="Arial" w:hAnsi="Arial" w:cs="Arial"/>
        </w:rPr>
        <w:t>de</w:t>
      </w:r>
      <w:r w:rsidR="00B96E83" w:rsidRPr="008356D9">
        <w:rPr>
          <w:rFonts w:ascii="Arial" w:hAnsi="Arial" w:cs="Arial"/>
        </w:rPr>
        <w:t xml:space="preserve"> engaging in the social aspect of university more challenging as it transcended both their two senses of identity, sitting uncomfortably between</w:t>
      </w:r>
      <w:r w:rsidR="004F54EE" w:rsidRPr="008356D9">
        <w:rPr>
          <w:rFonts w:ascii="Arial" w:hAnsi="Arial" w:cs="Arial"/>
        </w:rPr>
        <w:t xml:space="preserve"> them</w:t>
      </w:r>
      <w:r w:rsidRPr="008356D9">
        <w:rPr>
          <w:rFonts w:ascii="Arial" w:hAnsi="Arial" w:cs="Arial"/>
        </w:rPr>
        <w:t>.</w:t>
      </w:r>
      <w:r w:rsidRPr="008356D9">
        <w:rPr>
          <w:rStyle w:val="FootnoteReference"/>
          <w:rFonts w:ascii="Arial" w:hAnsi="Arial" w:cs="Arial"/>
        </w:rPr>
        <w:footnoteReference w:id="4"/>
      </w:r>
    </w:p>
    <w:p w14:paraId="54B81AD1" w14:textId="37027014" w:rsidR="009322B7" w:rsidRPr="008356D9" w:rsidRDefault="00E32C0A" w:rsidP="00746F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356D9">
        <w:rPr>
          <w:rFonts w:ascii="Arial" w:hAnsi="Arial" w:cs="Arial"/>
        </w:rPr>
        <w:t>It is not unreasonable to suggest that this phenomenon is even more strongly felt at Durham due to Common Rooms and college bars allow</w:t>
      </w:r>
      <w:r w:rsidR="009322B7" w:rsidRPr="008356D9">
        <w:rPr>
          <w:rFonts w:ascii="Arial" w:hAnsi="Arial" w:cs="Arial"/>
        </w:rPr>
        <w:t>ing</w:t>
      </w:r>
      <w:r w:rsidRPr="008356D9">
        <w:rPr>
          <w:rFonts w:ascii="Arial" w:hAnsi="Arial" w:cs="Arial"/>
        </w:rPr>
        <w:t xml:space="preserve"> for more organised social events to be held often within the colleges</w:t>
      </w:r>
      <w:r w:rsidR="009322B7" w:rsidRPr="008356D9">
        <w:rPr>
          <w:rFonts w:ascii="Arial" w:hAnsi="Arial" w:cs="Arial"/>
        </w:rPr>
        <w:t>, further combining the ‘social’ and ‘living’ space into one.</w:t>
      </w:r>
    </w:p>
    <w:p w14:paraId="492B9EA2" w14:textId="39B52ADC" w:rsidR="00746F14" w:rsidRPr="008356D9" w:rsidRDefault="00746F14" w:rsidP="00746F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356D9">
        <w:rPr>
          <w:rFonts w:ascii="Arial" w:hAnsi="Arial" w:cs="Arial"/>
        </w:rPr>
        <w:t>A recent Palatinate investigation found that the University has around 400 unfilled beds in colleges.</w:t>
      </w:r>
      <w:r w:rsidRPr="008356D9">
        <w:rPr>
          <w:rStyle w:val="FootnoteReference"/>
          <w:rFonts w:ascii="Arial" w:hAnsi="Arial" w:cs="Arial"/>
        </w:rPr>
        <w:footnoteReference w:id="5"/>
      </w:r>
    </w:p>
    <w:p w14:paraId="17B78667" w14:textId="6C8F68E5" w:rsidR="00203EBB" w:rsidRPr="008356D9" w:rsidRDefault="00203EBB" w:rsidP="009322B7">
      <w:pPr>
        <w:ind w:left="360"/>
        <w:rPr>
          <w:rFonts w:ascii="Arial" w:hAnsi="Arial" w:cs="Arial"/>
          <w:b/>
          <w:bCs/>
        </w:rPr>
      </w:pPr>
      <w:r w:rsidRPr="008356D9">
        <w:rPr>
          <w:rFonts w:ascii="Arial" w:hAnsi="Arial" w:cs="Arial"/>
          <w:b/>
          <w:bCs/>
        </w:rPr>
        <w:t>Assembly Believes</w:t>
      </w:r>
    </w:p>
    <w:p w14:paraId="32707BB9" w14:textId="349BE598" w:rsidR="00BB072B" w:rsidRPr="008356D9" w:rsidRDefault="00C87C92" w:rsidP="00BB07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Although the</w:t>
      </w:r>
      <w:r w:rsidR="00137CC9" w:rsidRPr="008356D9">
        <w:rPr>
          <w:rFonts w:ascii="Arial" w:hAnsi="Arial" w:cs="Arial"/>
        </w:rPr>
        <w:t>re is no dispute that commuter students exist</w:t>
      </w:r>
      <w:r w:rsidR="00C81AD0" w:rsidRPr="008356D9">
        <w:rPr>
          <w:rFonts w:ascii="Arial" w:hAnsi="Arial" w:cs="Arial"/>
        </w:rPr>
        <w:t xml:space="preserve"> as a demographic of students</w:t>
      </w:r>
      <w:r w:rsidRPr="008356D9">
        <w:rPr>
          <w:rFonts w:ascii="Arial" w:hAnsi="Arial" w:cs="Arial"/>
        </w:rPr>
        <w:t>, t</w:t>
      </w:r>
      <w:r w:rsidR="00BB072B" w:rsidRPr="008356D9">
        <w:rPr>
          <w:rFonts w:ascii="Arial" w:hAnsi="Arial" w:cs="Arial"/>
        </w:rPr>
        <w:t>here is currently no consistent</w:t>
      </w:r>
      <w:r w:rsidRPr="008356D9">
        <w:rPr>
          <w:rFonts w:ascii="Arial" w:hAnsi="Arial" w:cs="Arial"/>
        </w:rPr>
        <w:t xml:space="preserve"> </w:t>
      </w:r>
      <w:r w:rsidR="00BB072B" w:rsidRPr="008356D9">
        <w:rPr>
          <w:rFonts w:ascii="Arial" w:hAnsi="Arial" w:cs="Arial"/>
        </w:rPr>
        <w:t xml:space="preserve">definition </w:t>
      </w:r>
      <w:r w:rsidRPr="008356D9">
        <w:rPr>
          <w:rFonts w:ascii="Arial" w:hAnsi="Arial" w:cs="Arial"/>
        </w:rPr>
        <w:t>for</w:t>
      </w:r>
      <w:r w:rsidR="00BB072B" w:rsidRPr="008356D9">
        <w:rPr>
          <w:rFonts w:ascii="Arial" w:hAnsi="Arial" w:cs="Arial"/>
        </w:rPr>
        <w:t xml:space="preserve"> what </w:t>
      </w:r>
      <w:r w:rsidR="004F54EE" w:rsidRPr="008356D9">
        <w:rPr>
          <w:rFonts w:ascii="Arial" w:hAnsi="Arial" w:cs="Arial"/>
        </w:rPr>
        <w:t>criteria define</w:t>
      </w:r>
      <w:r w:rsidR="00BB072B" w:rsidRPr="008356D9">
        <w:rPr>
          <w:rFonts w:ascii="Arial" w:hAnsi="Arial" w:cs="Arial"/>
        </w:rPr>
        <w:t xml:space="preserve"> a ‘commuter student’. It would be </w:t>
      </w:r>
      <w:r w:rsidR="004F54EE" w:rsidRPr="008356D9">
        <w:rPr>
          <w:rFonts w:ascii="Arial" w:hAnsi="Arial" w:cs="Arial"/>
        </w:rPr>
        <w:t>beneficial</w:t>
      </w:r>
      <w:r w:rsidR="00BB072B" w:rsidRPr="008356D9">
        <w:rPr>
          <w:rFonts w:ascii="Arial" w:hAnsi="Arial" w:cs="Arial"/>
        </w:rPr>
        <w:t xml:space="preserve"> </w:t>
      </w:r>
      <w:r w:rsidRPr="008356D9">
        <w:rPr>
          <w:rFonts w:ascii="Arial" w:hAnsi="Arial" w:cs="Arial"/>
        </w:rPr>
        <w:t>for Durham SU to adopt a standard working definition.</w:t>
      </w:r>
    </w:p>
    <w:p w14:paraId="594C14F3" w14:textId="2638B244" w:rsidR="00B96E83" w:rsidRPr="008356D9" w:rsidRDefault="00B96E83" w:rsidP="00BB07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lastRenderedPageBreak/>
        <w:t>The postcode-based working definition used previously by the University is n</w:t>
      </w:r>
      <w:r w:rsidR="004F54EE" w:rsidRPr="008356D9">
        <w:rPr>
          <w:rFonts w:ascii="Arial" w:hAnsi="Arial" w:cs="Arial"/>
        </w:rPr>
        <w:t xml:space="preserve">ot fit for purpose </w:t>
      </w:r>
      <w:r w:rsidRPr="008356D9">
        <w:rPr>
          <w:rFonts w:ascii="Arial" w:hAnsi="Arial" w:cs="Arial"/>
        </w:rPr>
        <w:t>due to the geographic magnitude of DH1</w:t>
      </w:r>
      <w:r w:rsidR="004F54EE" w:rsidRPr="008356D9">
        <w:rPr>
          <w:rFonts w:ascii="Arial" w:hAnsi="Arial" w:cs="Arial"/>
        </w:rPr>
        <w:t xml:space="preserve"> (</w:t>
      </w:r>
      <w:r w:rsidR="00F21236" w:rsidRPr="008356D9">
        <w:rPr>
          <w:rFonts w:ascii="Arial" w:hAnsi="Arial" w:cs="Arial"/>
        </w:rPr>
        <w:t>s</w:t>
      </w:r>
      <w:r w:rsidR="004F54EE" w:rsidRPr="008356D9">
        <w:rPr>
          <w:rFonts w:ascii="Arial" w:hAnsi="Arial" w:cs="Arial"/>
        </w:rPr>
        <w:t>ee Appendix 1</w:t>
      </w:r>
      <w:r w:rsidR="00F21236" w:rsidRPr="008356D9">
        <w:rPr>
          <w:rFonts w:ascii="Arial" w:hAnsi="Arial" w:cs="Arial"/>
        </w:rPr>
        <w:t>A</w:t>
      </w:r>
      <w:r w:rsidR="004F54EE" w:rsidRPr="008356D9">
        <w:rPr>
          <w:rFonts w:ascii="Arial" w:hAnsi="Arial" w:cs="Arial"/>
        </w:rPr>
        <w:t>)</w:t>
      </w:r>
      <w:r w:rsidRPr="008356D9">
        <w:rPr>
          <w:rFonts w:ascii="Arial" w:hAnsi="Arial" w:cs="Arial"/>
        </w:rPr>
        <w:t xml:space="preserve">. Students living in places such as High </w:t>
      </w:r>
      <w:proofErr w:type="spellStart"/>
      <w:r w:rsidRPr="008356D9">
        <w:rPr>
          <w:rFonts w:ascii="Arial" w:hAnsi="Arial" w:cs="Arial"/>
        </w:rPr>
        <w:t>Shincliffe</w:t>
      </w:r>
      <w:proofErr w:type="spellEnd"/>
      <w:r w:rsidRPr="008356D9">
        <w:rPr>
          <w:rFonts w:ascii="Arial" w:hAnsi="Arial" w:cs="Arial"/>
        </w:rPr>
        <w:t xml:space="preserve"> and </w:t>
      </w:r>
      <w:proofErr w:type="spellStart"/>
      <w:r w:rsidRPr="008356D9">
        <w:rPr>
          <w:rFonts w:ascii="Arial" w:hAnsi="Arial" w:cs="Arial"/>
        </w:rPr>
        <w:t>Brass</w:t>
      </w:r>
      <w:r w:rsidR="004F54EE" w:rsidRPr="008356D9">
        <w:rPr>
          <w:rFonts w:ascii="Arial" w:hAnsi="Arial" w:cs="Arial"/>
        </w:rPr>
        <w:t>ide</w:t>
      </w:r>
      <w:proofErr w:type="spellEnd"/>
      <w:r w:rsidR="004F54EE" w:rsidRPr="008356D9">
        <w:rPr>
          <w:rFonts w:ascii="Arial" w:hAnsi="Arial" w:cs="Arial"/>
        </w:rPr>
        <w:t xml:space="preserve"> are likely to have an experience</w:t>
      </w:r>
      <w:r w:rsidRPr="008356D9">
        <w:rPr>
          <w:rFonts w:ascii="Arial" w:hAnsi="Arial" w:cs="Arial"/>
        </w:rPr>
        <w:t xml:space="preserve"> </w:t>
      </w:r>
      <w:r w:rsidR="004F54EE" w:rsidRPr="008356D9">
        <w:rPr>
          <w:rFonts w:ascii="Arial" w:hAnsi="Arial" w:cs="Arial"/>
        </w:rPr>
        <w:t xml:space="preserve">more </w:t>
      </w:r>
      <w:proofErr w:type="gramStart"/>
      <w:r w:rsidR="004F54EE" w:rsidRPr="008356D9">
        <w:rPr>
          <w:rFonts w:ascii="Arial" w:hAnsi="Arial" w:cs="Arial"/>
        </w:rPr>
        <w:t>similar to</w:t>
      </w:r>
      <w:proofErr w:type="gramEnd"/>
      <w:r w:rsidR="004F54EE" w:rsidRPr="008356D9">
        <w:rPr>
          <w:rFonts w:ascii="Arial" w:hAnsi="Arial" w:cs="Arial"/>
        </w:rPr>
        <w:t xml:space="preserve"> students living outside of DH1 than students living in the City of Durham.</w:t>
      </w:r>
    </w:p>
    <w:p w14:paraId="69F7206A" w14:textId="14876109" w:rsidR="00C87C92" w:rsidRPr="008356D9" w:rsidRDefault="00C87C92" w:rsidP="00BB07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That the University, SU, and all other relevant parties should do all within their powers to make the ‘Durham experience’, including its social and extra-curricular elements, as accessible as possible for commuter students.</w:t>
      </w:r>
    </w:p>
    <w:p w14:paraId="4D31F8B1" w14:textId="1AE74648" w:rsidR="00203EBB" w:rsidRPr="008356D9" w:rsidRDefault="00203EBB" w:rsidP="00203EBB">
      <w:pPr>
        <w:rPr>
          <w:rFonts w:ascii="Arial" w:hAnsi="Arial" w:cs="Arial"/>
          <w:b/>
          <w:bCs/>
        </w:rPr>
      </w:pPr>
      <w:r w:rsidRPr="008356D9">
        <w:rPr>
          <w:rFonts w:ascii="Arial" w:hAnsi="Arial" w:cs="Arial"/>
          <w:b/>
          <w:bCs/>
        </w:rPr>
        <w:t>Assembly Resolves</w:t>
      </w:r>
    </w:p>
    <w:p w14:paraId="6B342D3F" w14:textId="2A534364" w:rsidR="00C81AD0" w:rsidRPr="008356D9" w:rsidRDefault="00C81AD0" w:rsidP="009322B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 xml:space="preserve">To adopt the following as a working definition of commuter students: </w:t>
      </w:r>
    </w:p>
    <w:p w14:paraId="446937B6" w14:textId="77777777" w:rsidR="009322B7" w:rsidRPr="008356D9" w:rsidRDefault="009322B7" w:rsidP="009322B7">
      <w:pPr>
        <w:pStyle w:val="ListParagraph"/>
        <w:rPr>
          <w:rFonts w:ascii="Arial" w:hAnsi="Arial" w:cs="Arial"/>
        </w:rPr>
      </w:pPr>
    </w:p>
    <w:p w14:paraId="062E7FBB" w14:textId="0A2C304A" w:rsidR="00C81AD0" w:rsidRPr="008356D9" w:rsidRDefault="00C81AD0" w:rsidP="00C81AD0">
      <w:pPr>
        <w:pStyle w:val="ListParagraph"/>
        <w:rPr>
          <w:rFonts w:ascii="Arial" w:hAnsi="Arial" w:cs="Arial"/>
          <w:i/>
          <w:iCs/>
        </w:rPr>
      </w:pPr>
      <w:r w:rsidRPr="008356D9">
        <w:rPr>
          <w:rFonts w:ascii="Arial" w:hAnsi="Arial" w:cs="Arial"/>
          <w:i/>
          <w:iCs/>
        </w:rPr>
        <w:t>‘</w:t>
      </w:r>
      <w:r w:rsidR="009322B7" w:rsidRPr="008356D9">
        <w:rPr>
          <w:rFonts w:ascii="Arial" w:hAnsi="Arial" w:cs="Arial"/>
          <w:i/>
          <w:iCs/>
        </w:rPr>
        <w:t xml:space="preserve">A student living further than a </w:t>
      </w:r>
      <w:proofErr w:type="gramStart"/>
      <w:r w:rsidR="009322B7" w:rsidRPr="008356D9">
        <w:rPr>
          <w:rFonts w:ascii="Arial" w:hAnsi="Arial" w:cs="Arial"/>
          <w:i/>
          <w:iCs/>
        </w:rPr>
        <w:t>40 minute</w:t>
      </w:r>
      <w:proofErr w:type="gramEnd"/>
      <w:r w:rsidR="009322B7" w:rsidRPr="008356D9">
        <w:rPr>
          <w:rFonts w:ascii="Arial" w:hAnsi="Arial" w:cs="Arial"/>
          <w:i/>
          <w:iCs/>
        </w:rPr>
        <w:t xml:space="preserve"> walk or 20 minute car-ride from the University and not living with other Durham students</w:t>
      </w:r>
      <w:r w:rsidRPr="008356D9">
        <w:rPr>
          <w:rFonts w:ascii="Arial" w:hAnsi="Arial" w:cs="Arial"/>
          <w:i/>
          <w:iCs/>
        </w:rPr>
        <w:t>’</w:t>
      </w:r>
      <w:r w:rsidR="009322B7" w:rsidRPr="008356D9">
        <w:rPr>
          <w:rFonts w:ascii="Arial" w:hAnsi="Arial" w:cs="Arial"/>
          <w:i/>
          <w:iCs/>
        </w:rPr>
        <w:t>.</w:t>
      </w:r>
    </w:p>
    <w:p w14:paraId="59374A74" w14:textId="77777777" w:rsidR="009322B7" w:rsidRPr="008356D9" w:rsidRDefault="009322B7" w:rsidP="00C81AD0">
      <w:pPr>
        <w:pStyle w:val="ListParagraph"/>
        <w:rPr>
          <w:rFonts w:ascii="Arial" w:hAnsi="Arial" w:cs="Arial"/>
          <w:i/>
          <w:iCs/>
        </w:rPr>
      </w:pPr>
    </w:p>
    <w:p w14:paraId="1A3B05F2" w14:textId="68F26D43" w:rsidR="00C81AD0" w:rsidRPr="008356D9" w:rsidRDefault="009322B7" w:rsidP="00C81A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To require</w:t>
      </w:r>
      <w:r w:rsidR="00746F14" w:rsidRPr="008356D9">
        <w:rPr>
          <w:rFonts w:ascii="Arial" w:hAnsi="Arial" w:cs="Arial"/>
        </w:rPr>
        <w:t xml:space="preserve"> the</w:t>
      </w:r>
      <w:r w:rsidRPr="008356D9">
        <w:rPr>
          <w:rFonts w:ascii="Arial" w:hAnsi="Arial" w:cs="Arial"/>
        </w:rPr>
        <w:t xml:space="preserve"> SU to campaign f</w:t>
      </w:r>
      <w:r w:rsidR="00746F14" w:rsidRPr="008356D9">
        <w:rPr>
          <w:rFonts w:ascii="Arial" w:hAnsi="Arial" w:cs="Arial"/>
        </w:rPr>
        <w:t>or the introduction of</w:t>
      </w:r>
      <w:r w:rsidRPr="008356D9">
        <w:rPr>
          <w:rFonts w:ascii="Arial" w:hAnsi="Arial" w:cs="Arial"/>
        </w:rPr>
        <w:t xml:space="preserve"> a scheme enabling students that fall within the above definition to rent on a</w:t>
      </w:r>
      <w:r w:rsidR="00746F14" w:rsidRPr="008356D9">
        <w:rPr>
          <w:rFonts w:ascii="Arial" w:hAnsi="Arial" w:cs="Arial"/>
        </w:rPr>
        <w:t>n</w:t>
      </w:r>
      <w:r w:rsidRPr="008356D9">
        <w:rPr>
          <w:rFonts w:ascii="Arial" w:hAnsi="Arial" w:cs="Arial"/>
        </w:rPr>
        <w:t xml:space="preserve"> affordable</w:t>
      </w:r>
      <w:r w:rsidR="00746F14" w:rsidRPr="008356D9">
        <w:rPr>
          <w:rFonts w:ascii="Arial" w:hAnsi="Arial" w:cs="Arial"/>
        </w:rPr>
        <w:t>, nightly</w:t>
      </w:r>
      <w:r w:rsidRPr="008356D9">
        <w:rPr>
          <w:rFonts w:ascii="Arial" w:hAnsi="Arial" w:cs="Arial"/>
        </w:rPr>
        <w:t xml:space="preserve"> basis </w:t>
      </w:r>
      <w:proofErr w:type="gramStart"/>
      <w:r w:rsidR="00746F14" w:rsidRPr="008356D9">
        <w:rPr>
          <w:rFonts w:ascii="Arial" w:hAnsi="Arial" w:cs="Arial"/>
        </w:rPr>
        <w:t>spare</w:t>
      </w:r>
      <w:r w:rsidRPr="008356D9">
        <w:rPr>
          <w:rFonts w:ascii="Arial" w:hAnsi="Arial" w:cs="Arial"/>
        </w:rPr>
        <w:t xml:space="preserve"> beds</w:t>
      </w:r>
      <w:proofErr w:type="gramEnd"/>
      <w:r w:rsidRPr="008356D9">
        <w:rPr>
          <w:rFonts w:ascii="Arial" w:hAnsi="Arial" w:cs="Arial"/>
        </w:rPr>
        <w:t xml:space="preserve"> in their college in order to allow these students to</w:t>
      </w:r>
      <w:r w:rsidR="00746F14" w:rsidRPr="008356D9">
        <w:rPr>
          <w:rFonts w:ascii="Arial" w:hAnsi="Arial" w:cs="Arial"/>
        </w:rPr>
        <w:t xml:space="preserve"> more easily</w:t>
      </w:r>
      <w:r w:rsidRPr="008356D9">
        <w:rPr>
          <w:rFonts w:ascii="Arial" w:hAnsi="Arial" w:cs="Arial"/>
        </w:rPr>
        <w:t xml:space="preserve"> participate in evening/night-time soc</w:t>
      </w:r>
      <w:r w:rsidR="00746F14" w:rsidRPr="008356D9">
        <w:rPr>
          <w:rFonts w:ascii="Arial" w:hAnsi="Arial" w:cs="Arial"/>
        </w:rPr>
        <w:t>ial</w:t>
      </w:r>
      <w:r w:rsidRPr="008356D9">
        <w:rPr>
          <w:rFonts w:ascii="Arial" w:hAnsi="Arial" w:cs="Arial"/>
        </w:rPr>
        <w:t xml:space="preserve"> activities</w:t>
      </w:r>
      <w:r w:rsidR="00746F14" w:rsidRPr="008356D9">
        <w:rPr>
          <w:rFonts w:ascii="Arial" w:hAnsi="Arial" w:cs="Arial"/>
        </w:rPr>
        <w:t>.</w:t>
      </w:r>
    </w:p>
    <w:p w14:paraId="1DE3DA32" w14:textId="561E884A" w:rsidR="00746F14" w:rsidRPr="008356D9" w:rsidRDefault="00746F14" w:rsidP="00C81A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56D9">
        <w:rPr>
          <w:rFonts w:ascii="Arial" w:hAnsi="Arial" w:cs="Arial"/>
        </w:rPr>
        <w:t>To require the SU to work with the University to ensure that other facilities are provided to make it possible for students to remain on campus for long periods</w:t>
      </w:r>
      <w:r w:rsidR="0023283C" w:rsidRPr="008356D9">
        <w:rPr>
          <w:rFonts w:ascii="Arial" w:hAnsi="Arial" w:cs="Arial"/>
        </w:rPr>
        <w:t xml:space="preserve"> of time between contact hours</w:t>
      </w:r>
      <w:r w:rsidRPr="008356D9">
        <w:rPr>
          <w:rFonts w:ascii="Arial" w:hAnsi="Arial" w:cs="Arial"/>
        </w:rPr>
        <w:t>, ma</w:t>
      </w:r>
      <w:r w:rsidR="0023283C" w:rsidRPr="008356D9">
        <w:rPr>
          <w:rFonts w:ascii="Arial" w:hAnsi="Arial" w:cs="Arial"/>
        </w:rPr>
        <w:t>ximising</w:t>
      </w:r>
      <w:r w:rsidRPr="008356D9">
        <w:rPr>
          <w:rFonts w:ascii="Arial" w:hAnsi="Arial" w:cs="Arial"/>
        </w:rPr>
        <w:t xml:space="preserve"> accessib</w:t>
      </w:r>
      <w:r w:rsidR="0023283C" w:rsidRPr="008356D9">
        <w:rPr>
          <w:rFonts w:ascii="Arial" w:hAnsi="Arial" w:cs="Arial"/>
        </w:rPr>
        <w:t>ility</w:t>
      </w:r>
      <w:r w:rsidRPr="008356D9">
        <w:rPr>
          <w:rFonts w:ascii="Arial" w:hAnsi="Arial" w:cs="Arial"/>
        </w:rPr>
        <w:t xml:space="preserve"> for students who cannot, for whatever reason, feasibly return to their residence during the day.</w:t>
      </w:r>
    </w:p>
    <w:p w14:paraId="14F8F8D9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03AA275C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7C2F41FD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6D7A5FD4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4E1BFAAC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3802ADF3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53E1AE0F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7B671F3B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53C23473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5F19F105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1A2272A3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7FF1F36C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2AE865AE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5DB6D48A" w14:textId="77777777" w:rsidR="00F21236" w:rsidRPr="008356D9" w:rsidRDefault="00F21236" w:rsidP="00F21236">
      <w:pPr>
        <w:rPr>
          <w:rFonts w:ascii="Arial" w:hAnsi="Arial" w:cs="Arial"/>
          <w:b/>
          <w:bCs/>
        </w:rPr>
      </w:pPr>
    </w:p>
    <w:p w14:paraId="74EAD042" w14:textId="77777777" w:rsidR="008356D9" w:rsidRDefault="008356D9" w:rsidP="00F21236">
      <w:pPr>
        <w:rPr>
          <w:rFonts w:ascii="Arial" w:hAnsi="Arial" w:cs="Arial"/>
          <w:b/>
          <w:bCs/>
        </w:rPr>
      </w:pPr>
    </w:p>
    <w:p w14:paraId="2ECE0A2F" w14:textId="77777777" w:rsidR="008356D9" w:rsidRDefault="008356D9" w:rsidP="00F21236">
      <w:pPr>
        <w:rPr>
          <w:rFonts w:ascii="Arial" w:hAnsi="Arial" w:cs="Arial"/>
          <w:b/>
          <w:bCs/>
        </w:rPr>
      </w:pPr>
    </w:p>
    <w:p w14:paraId="34AF3B9E" w14:textId="77777777" w:rsidR="008356D9" w:rsidRDefault="008356D9" w:rsidP="00F21236">
      <w:pPr>
        <w:rPr>
          <w:rFonts w:ascii="Arial" w:hAnsi="Arial" w:cs="Arial"/>
          <w:b/>
          <w:bCs/>
        </w:rPr>
      </w:pPr>
    </w:p>
    <w:p w14:paraId="2289AADB" w14:textId="77777777" w:rsidR="008356D9" w:rsidRDefault="008356D9" w:rsidP="00F21236">
      <w:pPr>
        <w:rPr>
          <w:rFonts w:ascii="Arial" w:hAnsi="Arial" w:cs="Arial"/>
          <w:b/>
          <w:bCs/>
        </w:rPr>
      </w:pPr>
    </w:p>
    <w:p w14:paraId="77DC31B2" w14:textId="418EE8E7" w:rsidR="00F21236" w:rsidRPr="008356D9" w:rsidRDefault="00F21236" w:rsidP="00F21236">
      <w:pPr>
        <w:rPr>
          <w:rFonts w:ascii="Arial" w:hAnsi="Arial" w:cs="Arial"/>
          <w:b/>
          <w:bCs/>
        </w:rPr>
      </w:pPr>
      <w:r w:rsidRPr="008356D9">
        <w:rPr>
          <w:rFonts w:ascii="Arial" w:hAnsi="Arial" w:cs="Arial"/>
          <w:b/>
          <w:bCs/>
        </w:rPr>
        <w:lastRenderedPageBreak/>
        <w:t>Appendix 1</w:t>
      </w:r>
    </w:p>
    <w:p w14:paraId="06693285" w14:textId="7E94CF10" w:rsidR="00F21236" w:rsidRPr="00F21236" w:rsidRDefault="00F21236" w:rsidP="00F212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356D9">
        <w:rPr>
          <w:rFonts w:ascii="Arial" w:hAnsi="Arial" w:cs="Arial"/>
        </w:rPr>
        <w:t>Map of the DH1 postcode area (inside the red dotted line).</w:t>
      </w:r>
      <w:r w:rsidRPr="008356D9"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4F8B6D22" wp14:editId="06E238DA">
            <wp:extent cx="5708650" cy="4851400"/>
            <wp:effectExtent l="0" t="0" r="6350" b="6350"/>
            <wp:docPr id="99470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236" w:rsidRPr="00F21236" w:rsidSect="004B2F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FFCF" w14:textId="77777777" w:rsidR="004B2F14" w:rsidRDefault="004B2F14" w:rsidP="00203EBB">
      <w:pPr>
        <w:spacing w:after="0" w:line="240" w:lineRule="auto"/>
      </w:pPr>
      <w:r>
        <w:separator/>
      </w:r>
    </w:p>
  </w:endnote>
  <w:endnote w:type="continuationSeparator" w:id="0">
    <w:p w14:paraId="30901C44" w14:textId="77777777" w:rsidR="004B2F14" w:rsidRDefault="004B2F14" w:rsidP="0020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66ED" w14:textId="77777777" w:rsidR="004B2F14" w:rsidRDefault="004B2F14" w:rsidP="00203EBB">
      <w:pPr>
        <w:spacing w:after="0" w:line="240" w:lineRule="auto"/>
      </w:pPr>
      <w:r>
        <w:separator/>
      </w:r>
    </w:p>
  </w:footnote>
  <w:footnote w:type="continuationSeparator" w:id="0">
    <w:p w14:paraId="4547626D" w14:textId="77777777" w:rsidR="004B2F14" w:rsidRDefault="004B2F14" w:rsidP="00203EBB">
      <w:pPr>
        <w:spacing w:after="0" w:line="240" w:lineRule="auto"/>
      </w:pPr>
      <w:r>
        <w:continuationSeparator/>
      </w:r>
    </w:p>
  </w:footnote>
  <w:footnote w:id="1">
    <w:p w14:paraId="4ABDFEFB" w14:textId="5328C0D2" w:rsidR="00C2359A" w:rsidRPr="0023283C" w:rsidRDefault="00C235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283C">
        <w:t xml:space="preserve">Shepherd, H., ‘Report – Student Accommodation Data Analysis 22/23’, </w:t>
      </w:r>
      <w:r w:rsidR="0023283C">
        <w:rPr>
          <w:i/>
          <w:iCs/>
        </w:rPr>
        <w:t xml:space="preserve">Durham University Housing Strategy Group, </w:t>
      </w:r>
      <w:r w:rsidR="0023283C">
        <w:t>2023, p.3.</w:t>
      </w:r>
    </w:p>
  </w:footnote>
  <w:footnote w:id="2">
    <w:p w14:paraId="057D6A4A" w14:textId="2B4E8081" w:rsidR="00BB072B" w:rsidRPr="00906101" w:rsidRDefault="00BB07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283C">
        <w:t xml:space="preserve">Donnelly, M. &amp; </w:t>
      </w:r>
      <w:proofErr w:type="spellStart"/>
      <w:r w:rsidR="0023283C">
        <w:t>Gamsu</w:t>
      </w:r>
      <w:proofErr w:type="spellEnd"/>
      <w:r w:rsidR="0023283C">
        <w:t xml:space="preserve">, S., ‘Home and </w:t>
      </w:r>
      <w:r w:rsidR="00906101">
        <w:t xml:space="preserve">Away: Social, ethnic and spatial inequalities in student mobility’, </w:t>
      </w:r>
      <w:r w:rsidR="00906101">
        <w:rPr>
          <w:i/>
          <w:iCs/>
        </w:rPr>
        <w:t xml:space="preserve">The Sutton Trust, </w:t>
      </w:r>
      <w:r w:rsidR="00906101">
        <w:t>2018, p.31.</w:t>
      </w:r>
    </w:p>
  </w:footnote>
  <w:footnote w:id="3">
    <w:p w14:paraId="46E41153" w14:textId="0ACE8A5C" w:rsidR="00137CC9" w:rsidRDefault="00137C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6101">
        <w:t>Holton, M., ‘</w:t>
      </w:r>
      <w:r w:rsidR="00906101" w:rsidRPr="00906101">
        <w:t>Examining students’ night-time activity spaces: identities, performances and transformations</w:t>
      </w:r>
      <w:r w:rsidR="00906101">
        <w:t xml:space="preserve">’, </w:t>
      </w:r>
      <w:r w:rsidR="00906101">
        <w:rPr>
          <w:i/>
          <w:iCs/>
        </w:rPr>
        <w:t>Geographical Research</w:t>
      </w:r>
      <w:r w:rsidR="00F21236">
        <w:rPr>
          <w:i/>
          <w:iCs/>
        </w:rPr>
        <w:t xml:space="preserve">, </w:t>
      </w:r>
      <w:r w:rsidR="00F21236">
        <w:t>2016, p</w:t>
      </w:r>
      <w:r w:rsidR="00906101">
        <w:t>.8</w:t>
      </w:r>
      <w:r w:rsidR="00F21236">
        <w:t>.</w:t>
      </w:r>
    </w:p>
  </w:footnote>
  <w:footnote w:id="4">
    <w:p w14:paraId="1F5DB6D7" w14:textId="5769A43D" w:rsidR="00137CC9" w:rsidRDefault="00137C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1236">
        <w:t>Ibid, p</w:t>
      </w:r>
      <w:r w:rsidR="00906101">
        <w:t>.15</w:t>
      </w:r>
      <w:r w:rsidR="00F21236">
        <w:t>.</w:t>
      </w:r>
    </w:p>
  </w:footnote>
  <w:footnote w:id="5">
    <w:p w14:paraId="7639FB42" w14:textId="1FE15FD8" w:rsidR="00746F14" w:rsidRPr="00F21236" w:rsidRDefault="00746F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F21236">
        <w:t>Burrin</w:t>
      </w:r>
      <w:proofErr w:type="spellEnd"/>
      <w:r w:rsidR="00F21236">
        <w:t>, E., ‘</w:t>
      </w:r>
      <w:r w:rsidR="00F21236" w:rsidRPr="00F21236">
        <w:t>Almost 400 unoccupied beds in Durham-owned college accommodation</w:t>
      </w:r>
      <w:r w:rsidR="00F21236">
        <w:t xml:space="preserve">’, </w:t>
      </w:r>
      <w:r w:rsidR="00F21236">
        <w:rPr>
          <w:i/>
          <w:iCs/>
        </w:rPr>
        <w:t xml:space="preserve">Palatinate, </w:t>
      </w:r>
      <w:r w:rsidR="00F21236">
        <w:t>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D304" w14:textId="3FBC9B4F" w:rsidR="00A91A17" w:rsidRPr="00A91A17" w:rsidRDefault="00A91A17">
    <w:pPr>
      <w:pStyle w:val="Header"/>
      <w:rPr>
        <w:rFonts w:ascii="Arial" w:hAnsi="Arial" w:cs="Arial"/>
        <w:sz w:val="20"/>
        <w:szCs w:val="20"/>
      </w:rPr>
    </w:pPr>
    <w:r w:rsidRPr="00A91A17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57376E49" wp14:editId="52223830">
          <wp:simplePos x="0" y="0"/>
          <wp:positionH relativeFrom="page">
            <wp:posOffset>5094515</wp:posOffset>
          </wp:positionH>
          <wp:positionV relativeFrom="page">
            <wp:posOffset>235190</wp:posOffset>
          </wp:positionV>
          <wp:extent cx="2046309" cy="391031"/>
          <wp:effectExtent l="0" t="0" r="0" b="0"/>
          <wp:wrapNone/>
          <wp:docPr id="1" name="Image 1" descr="A blue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6309" cy="391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1A17">
      <w:rPr>
        <w:rFonts w:ascii="Arial" w:hAnsi="Arial" w:cs="Arial"/>
        <w:sz w:val="20"/>
        <w:szCs w:val="20"/>
      </w:rPr>
      <w:t>UA/2324/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2814"/>
    <w:multiLevelType w:val="hybridMultilevel"/>
    <w:tmpl w:val="65329F66"/>
    <w:lvl w:ilvl="0" w:tplc="84DC5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5961"/>
    <w:multiLevelType w:val="hybridMultilevel"/>
    <w:tmpl w:val="4DD668F8"/>
    <w:lvl w:ilvl="0" w:tplc="450A27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1F63"/>
    <w:multiLevelType w:val="hybridMultilevel"/>
    <w:tmpl w:val="3408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73E5"/>
    <w:multiLevelType w:val="hybridMultilevel"/>
    <w:tmpl w:val="15E44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7668">
    <w:abstractNumId w:val="0"/>
  </w:num>
  <w:num w:numId="2" w16cid:durableId="1595505805">
    <w:abstractNumId w:val="3"/>
  </w:num>
  <w:num w:numId="3" w16cid:durableId="1226180405">
    <w:abstractNumId w:val="2"/>
  </w:num>
  <w:num w:numId="4" w16cid:durableId="34460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BB"/>
    <w:rsid w:val="00137CC9"/>
    <w:rsid w:val="00203EBB"/>
    <w:rsid w:val="0023283C"/>
    <w:rsid w:val="003E514D"/>
    <w:rsid w:val="004B2F14"/>
    <w:rsid w:val="004F54EE"/>
    <w:rsid w:val="006D5907"/>
    <w:rsid w:val="00746F14"/>
    <w:rsid w:val="00817C00"/>
    <w:rsid w:val="008356D9"/>
    <w:rsid w:val="00906101"/>
    <w:rsid w:val="009322B7"/>
    <w:rsid w:val="00A91A17"/>
    <w:rsid w:val="00A922B8"/>
    <w:rsid w:val="00B96E83"/>
    <w:rsid w:val="00BB072B"/>
    <w:rsid w:val="00C2359A"/>
    <w:rsid w:val="00C81AD0"/>
    <w:rsid w:val="00C87C92"/>
    <w:rsid w:val="00E32C0A"/>
    <w:rsid w:val="00EB5B58"/>
    <w:rsid w:val="00F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1320"/>
  <w15:chartTrackingRefBased/>
  <w15:docId w15:val="{EA071059-56CB-4E71-9BD6-0AC91208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3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E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EB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356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56D9"/>
    <w:rPr>
      <w:rFonts w:ascii="Arial" w:eastAsia="Arial" w:hAnsi="Arial" w:cs="Aria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A17"/>
  </w:style>
  <w:style w:type="paragraph" w:styleId="Footer">
    <w:name w:val="footer"/>
    <w:basedOn w:val="Normal"/>
    <w:link w:val="FooterChar"/>
    <w:uiPriority w:val="99"/>
    <w:unhideWhenUsed/>
    <w:rsid w:val="00A9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6D01-29F9-41C6-936F-C7B91B26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Brown</dc:creator>
  <cp:keywords/>
  <dc:description/>
  <cp:lastModifiedBy>BIRCH, SOPHIE L.D.</cp:lastModifiedBy>
  <cp:revision>3</cp:revision>
  <dcterms:created xsi:type="dcterms:W3CDTF">2024-08-15T09:48:00Z</dcterms:created>
  <dcterms:modified xsi:type="dcterms:W3CDTF">2024-08-15T09:48:00Z</dcterms:modified>
</cp:coreProperties>
</file>